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88713" w14:textId="77777777" w:rsidR="001F03E6" w:rsidRPr="001F03E6" w:rsidRDefault="001F03E6" w:rsidP="001F03E6">
      <w:pPr>
        <w:jc w:val="center"/>
        <w:rPr>
          <w:rFonts w:ascii="Book Antiqua" w:hAnsi="Book Antiqua"/>
          <w:b/>
          <w:szCs w:val="60"/>
        </w:rPr>
      </w:pPr>
    </w:p>
    <w:p w14:paraId="1080031F" w14:textId="79B3B01F" w:rsidR="001F03E6" w:rsidRPr="001F03E6" w:rsidRDefault="001F03E6" w:rsidP="001F03E6">
      <w:pPr>
        <w:jc w:val="center"/>
        <w:rPr>
          <w:rFonts w:ascii="Book Antiqua" w:hAnsi="Book Antiqua"/>
          <w:b/>
          <w:sz w:val="56"/>
          <w:szCs w:val="60"/>
        </w:rPr>
      </w:pPr>
      <w:r>
        <w:rPr>
          <w:rFonts w:ascii="Book Antiqua" w:hAnsi="Book Antiqua"/>
          <w:b/>
          <w:sz w:val="56"/>
          <w:szCs w:val="60"/>
        </w:rPr>
        <w:t>B</w:t>
      </w:r>
      <w:r w:rsidRPr="001F03E6">
        <w:rPr>
          <w:rFonts w:ascii="Book Antiqua" w:hAnsi="Book Antiqua"/>
          <w:b/>
          <w:sz w:val="56"/>
          <w:szCs w:val="60"/>
        </w:rPr>
        <w:t>AREME DES HONORAIRES</w:t>
      </w:r>
    </w:p>
    <w:p w14:paraId="1A0470F0" w14:textId="77777777" w:rsidR="001F03E6" w:rsidRPr="001F03E6" w:rsidRDefault="001F03E6" w:rsidP="001F03E6">
      <w:pPr>
        <w:ind w:left="-284"/>
        <w:rPr>
          <w:rFonts w:ascii="Book Antiqua" w:hAnsi="Book Antiqua"/>
          <w:sz w:val="18"/>
        </w:rPr>
      </w:pPr>
    </w:p>
    <w:p w14:paraId="376D7543" w14:textId="77777777" w:rsidR="001F03E6" w:rsidRPr="00322872" w:rsidRDefault="001F03E6" w:rsidP="001F03E6">
      <w:pPr>
        <w:ind w:left="-709"/>
        <w:rPr>
          <w:rFonts w:ascii="Book Antiqua" w:hAnsi="Book Antiqua"/>
          <w:b/>
          <w:u w:val="single"/>
        </w:rPr>
      </w:pPr>
      <w:r w:rsidRPr="00322872">
        <w:rPr>
          <w:rFonts w:ascii="Book Antiqua" w:hAnsi="Book Antiqua"/>
          <w:b/>
          <w:u w:val="single"/>
        </w:rPr>
        <w:t xml:space="preserve"> I - HONORAIRES </w:t>
      </w:r>
      <w:r>
        <w:rPr>
          <w:rFonts w:ascii="Book Antiqua" w:hAnsi="Book Antiqua"/>
          <w:b/>
          <w:u w:val="single"/>
        </w:rPr>
        <w:t xml:space="preserve">TTC </w:t>
      </w:r>
      <w:r w:rsidRPr="00322872">
        <w:rPr>
          <w:rFonts w:ascii="Book Antiqua" w:hAnsi="Book Antiqua"/>
          <w:b/>
          <w:u w:val="single"/>
        </w:rPr>
        <w:t>TRANSACTION</w:t>
      </w:r>
      <w:r>
        <w:rPr>
          <w:rFonts w:ascii="Book Antiqua" w:hAnsi="Book Antiqua"/>
          <w:b/>
          <w:u w:val="single"/>
        </w:rPr>
        <w:t>S</w:t>
      </w:r>
      <w:r w:rsidRPr="00322872">
        <w:rPr>
          <w:rFonts w:ascii="Book Antiqua" w:hAnsi="Book Antiqua"/>
          <w:b/>
          <w:u w:val="single"/>
        </w:rPr>
        <w:t xml:space="preserve"> IMMEUBLES :</w:t>
      </w:r>
    </w:p>
    <w:p w14:paraId="7D386F84" w14:textId="77777777" w:rsidR="001F03E6" w:rsidRDefault="001F03E6" w:rsidP="001F03E6">
      <w:pPr>
        <w:ind w:left="-709"/>
        <w:jc w:val="both"/>
        <w:rPr>
          <w:rFonts w:ascii="Book Antiqua" w:hAnsi="Book Antiqua"/>
          <w:i/>
          <w:color w:val="0070C0"/>
          <w:sz w:val="22"/>
        </w:rPr>
      </w:pPr>
    </w:p>
    <w:p w14:paraId="791B1588" w14:textId="77777777" w:rsidR="001F03E6" w:rsidRPr="008D3983" w:rsidRDefault="001F03E6" w:rsidP="001F03E6">
      <w:pPr>
        <w:ind w:left="-709"/>
        <w:jc w:val="both"/>
        <w:rPr>
          <w:rFonts w:ascii="Book Antiqua" w:hAnsi="Book Antiqua"/>
          <w:i/>
          <w:color w:val="0070C0"/>
          <w:sz w:val="22"/>
        </w:rPr>
      </w:pPr>
      <w:r w:rsidRPr="008D3983">
        <w:rPr>
          <w:rFonts w:ascii="Book Antiqua" w:hAnsi="Book Antiqua"/>
          <w:i/>
          <w:color w:val="0070C0"/>
          <w:sz w:val="22"/>
        </w:rPr>
        <w:t>Honoraires TTC à la charge du vendeur ou, sur option,</w:t>
      </w:r>
      <w:r>
        <w:rPr>
          <w:rFonts w:ascii="Book Antiqua" w:hAnsi="Book Antiqua"/>
          <w:i/>
          <w:color w:val="0070C0"/>
          <w:sz w:val="22"/>
        </w:rPr>
        <w:t xml:space="preserve"> à la charge de l’acquéreur.</w:t>
      </w:r>
    </w:p>
    <w:p w14:paraId="1F1608E8" w14:textId="77777777" w:rsidR="001F03E6" w:rsidRPr="008D3983" w:rsidRDefault="001F03E6" w:rsidP="001F03E6">
      <w:pPr>
        <w:ind w:left="-709"/>
        <w:jc w:val="both"/>
        <w:rPr>
          <w:rFonts w:ascii="Book Antiqua" w:hAnsi="Book Antiqua"/>
          <w:i/>
          <w:color w:val="0070C0"/>
        </w:rPr>
      </w:pPr>
      <w:r w:rsidRPr="008D3983">
        <w:rPr>
          <w:rFonts w:ascii="Book Antiqua" w:hAnsi="Book Antiqua"/>
          <w:i/>
          <w:color w:val="0070C0"/>
          <w:sz w:val="22"/>
        </w:rPr>
        <w:t>Tranches non cumulables</w:t>
      </w:r>
    </w:p>
    <w:p w14:paraId="2B60618F" w14:textId="77777777" w:rsidR="001F03E6" w:rsidRPr="008D3983" w:rsidRDefault="001F03E6" w:rsidP="001F03E6">
      <w:pPr>
        <w:ind w:left="-709"/>
        <w:rPr>
          <w:rFonts w:ascii="Book Antiqua" w:hAnsi="Book Antiqua"/>
          <w:color w:val="0070C0"/>
        </w:rPr>
      </w:pPr>
    </w:p>
    <w:tbl>
      <w:tblPr>
        <w:tblStyle w:val="Grilledutableau"/>
        <w:tblW w:w="0" w:type="auto"/>
        <w:tblInd w:w="-596" w:type="dxa"/>
        <w:tblLook w:val="04A0" w:firstRow="1" w:lastRow="0" w:firstColumn="1" w:lastColumn="0" w:noHBand="0" w:noVBand="1"/>
      </w:tblPr>
      <w:tblGrid>
        <w:gridCol w:w="5517"/>
        <w:gridCol w:w="4139"/>
      </w:tblGrid>
      <w:tr w:rsidR="001F03E6" w:rsidRPr="00602BC8" w14:paraId="4DEC2F41" w14:textId="77777777" w:rsidTr="00C01CE4">
        <w:trPr>
          <w:trHeight w:val="310"/>
        </w:trPr>
        <w:tc>
          <w:tcPr>
            <w:tcW w:w="5632" w:type="dxa"/>
          </w:tcPr>
          <w:p w14:paraId="2B8B640C" w14:textId="77777777" w:rsidR="001F03E6" w:rsidRPr="00602BC8" w:rsidRDefault="001F03E6" w:rsidP="00C01CE4">
            <w:pPr>
              <w:ind w:left="38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Calculés sur le p</w:t>
            </w:r>
            <w:r w:rsidRPr="00602BC8">
              <w:rPr>
                <w:rFonts w:ascii="Book Antiqua" w:hAnsi="Book Antiqua"/>
                <w:b/>
              </w:rPr>
              <w:t>rix de vente net vendeur :</w:t>
            </w:r>
          </w:p>
        </w:tc>
        <w:tc>
          <w:tcPr>
            <w:tcW w:w="4216" w:type="dxa"/>
          </w:tcPr>
          <w:p w14:paraId="1D89E393" w14:textId="77777777" w:rsidR="001F03E6" w:rsidRPr="00602BC8" w:rsidRDefault="001F03E6" w:rsidP="00C01CE4">
            <w:pPr>
              <w:ind w:left="-284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Taux appliqué :</w:t>
            </w:r>
          </w:p>
        </w:tc>
      </w:tr>
      <w:tr w:rsidR="001F03E6" w:rsidRPr="00322872" w14:paraId="17C6060D" w14:textId="77777777" w:rsidTr="00C01CE4">
        <w:tc>
          <w:tcPr>
            <w:tcW w:w="5632" w:type="dxa"/>
          </w:tcPr>
          <w:p w14:paraId="78DDBAEF" w14:textId="77777777" w:rsidR="001F03E6" w:rsidRPr="00322872" w:rsidRDefault="001F03E6" w:rsidP="00C01CE4">
            <w:pPr>
              <w:ind w:left="18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Jusque 49</w:t>
            </w:r>
            <w:r w:rsidRPr="00322872">
              <w:rPr>
                <w:rFonts w:ascii="Book Antiqua" w:hAnsi="Book Antiqua"/>
              </w:rPr>
              <w:t>.999 €</w:t>
            </w:r>
          </w:p>
        </w:tc>
        <w:tc>
          <w:tcPr>
            <w:tcW w:w="4216" w:type="dxa"/>
          </w:tcPr>
          <w:p w14:paraId="6D59595C" w14:textId="77777777" w:rsidR="001F03E6" w:rsidRPr="00322872" w:rsidRDefault="001F03E6" w:rsidP="00C01CE4">
            <w:pPr>
              <w:ind w:left="-284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6.000,00 €</w:t>
            </w:r>
          </w:p>
        </w:tc>
      </w:tr>
      <w:tr w:rsidR="001F03E6" w:rsidRPr="00A84B2E" w14:paraId="07587C1D" w14:textId="77777777" w:rsidTr="00C01CE4">
        <w:tc>
          <w:tcPr>
            <w:tcW w:w="5632" w:type="dxa"/>
          </w:tcPr>
          <w:p w14:paraId="22E2DC4B" w14:textId="77777777" w:rsidR="001F03E6" w:rsidRPr="00322872" w:rsidRDefault="001F03E6" w:rsidP="00C01CE4">
            <w:pPr>
              <w:ind w:left="18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De 50.000 € à 60.000,00 € </w:t>
            </w:r>
          </w:p>
        </w:tc>
        <w:tc>
          <w:tcPr>
            <w:tcW w:w="4216" w:type="dxa"/>
          </w:tcPr>
          <w:p w14:paraId="7429EC3B" w14:textId="77777777" w:rsidR="001F03E6" w:rsidRDefault="001F03E6" w:rsidP="00C01CE4">
            <w:pPr>
              <w:ind w:left="18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6.500,00 €</w:t>
            </w:r>
          </w:p>
        </w:tc>
      </w:tr>
      <w:tr w:rsidR="001F03E6" w:rsidRPr="00A84B2E" w14:paraId="64448001" w14:textId="77777777" w:rsidTr="00C01CE4">
        <w:tc>
          <w:tcPr>
            <w:tcW w:w="5632" w:type="dxa"/>
          </w:tcPr>
          <w:p w14:paraId="689E0E91" w14:textId="77777777" w:rsidR="001F03E6" w:rsidRPr="00322872" w:rsidRDefault="001F03E6" w:rsidP="00C01CE4">
            <w:pPr>
              <w:ind w:left="18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 60.001 € à 70.000,00 €</w:t>
            </w:r>
          </w:p>
        </w:tc>
        <w:tc>
          <w:tcPr>
            <w:tcW w:w="4216" w:type="dxa"/>
          </w:tcPr>
          <w:p w14:paraId="12A1CD0F" w14:textId="77777777" w:rsidR="001F03E6" w:rsidRDefault="001F03E6" w:rsidP="00C01CE4">
            <w:pPr>
              <w:ind w:left="18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7.000,00 €</w:t>
            </w:r>
          </w:p>
        </w:tc>
      </w:tr>
      <w:tr w:rsidR="001F03E6" w:rsidRPr="00A84B2E" w14:paraId="440F7592" w14:textId="77777777" w:rsidTr="00C01CE4">
        <w:tc>
          <w:tcPr>
            <w:tcW w:w="5632" w:type="dxa"/>
          </w:tcPr>
          <w:p w14:paraId="32EF921C" w14:textId="77777777" w:rsidR="001F03E6" w:rsidRPr="00322872" w:rsidRDefault="001F03E6" w:rsidP="00C01CE4">
            <w:pPr>
              <w:ind w:left="18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 70.001 € à 80.000,00 €</w:t>
            </w:r>
          </w:p>
        </w:tc>
        <w:tc>
          <w:tcPr>
            <w:tcW w:w="4216" w:type="dxa"/>
          </w:tcPr>
          <w:p w14:paraId="2BC51DA8" w14:textId="77777777" w:rsidR="001F03E6" w:rsidRDefault="001F03E6" w:rsidP="00C01CE4">
            <w:pPr>
              <w:ind w:left="18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7.500,00 €</w:t>
            </w:r>
          </w:p>
        </w:tc>
      </w:tr>
      <w:tr w:rsidR="001F03E6" w:rsidRPr="00A84B2E" w14:paraId="560C4BC9" w14:textId="77777777" w:rsidTr="00C01CE4">
        <w:tc>
          <w:tcPr>
            <w:tcW w:w="5632" w:type="dxa"/>
          </w:tcPr>
          <w:p w14:paraId="201E3D14" w14:textId="386F41C1" w:rsidR="001F03E6" w:rsidRPr="00322872" w:rsidRDefault="001F03E6" w:rsidP="00C01CE4">
            <w:pPr>
              <w:ind w:left="18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 80.001 € à 90.000,00 €</w:t>
            </w:r>
          </w:p>
        </w:tc>
        <w:tc>
          <w:tcPr>
            <w:tcW w:w="4216" w:type="dxa"/>
          </w:tcPr>
          <w:p w14:paraId="4319F657" w14:textId="77777777" w:rsidR="001F03E6" w:rsidRDefault="001F03E6" w:rsidP="00C01CE4">
            <w:pPr>
              <w:ind w:left="18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8.000,00 €</w:t>
            </w:r>
          </w:p>
        </w:tc>
      </w:tr>
      <w:tr w:rsidR="001F03E6" w:rsidRPr="00A84B2E" w14:paraId="27A4CECF" w14:textId="77777777" w:rsidTr="00C01CE4">
        <w:tc>
          <w:tcPr>
            <w:tcW w:w="5632" w:type="dxa"/>
          </w:tcPr>
          <w:p w14:paraId="30C4323D" w14:textId="1EDEC8B7" w:rsidR="001F03E6" w:rsidRPr="00322872" w:rsidRDefault="001F03E6" w:rsidP="00C01CE4">
            <w:pPr>
              <w:ind w:left="18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 90.001 € à 99.999,00 €</w:t>
            </w:r>
          </w:p>
        </w:tc>
        <w:tc>
          <w:tcPr>
            <w:tcW w:w="4216" w:type="dxa"/>
          </w:tcPr>
          <w:p w14:paraId="71C82E4A" w14:textId="2FC42EDE" w:rsidR="001F03E6" w:rsidRDefault="001F03E6" w:rsidP="00C01CE4">
            <w:pPr>
              <w:ind w:left="18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8.</w:t>
            </w:r>
            <w:r w:rsidR="007936D0">
              <w:rPr>
                <w:rFonts w:ascii="Book Antiqua" w:hAnsi="Book Antiqua"/>
              </w:rPr>
              <w:t>5</w:t>
            </w:r>
            <w:bookmarkStart w:id="0" w:name="_GoBack"/>
            <w:bookmarkEnd w:id="0"/>
            <w:r>
              <w:rPr>
                <w:rFonts w:ascii="Book Antiqua" w:hAnsi="Book Antiqua"/>
              </w:rPr>
              <w:t>00,00 €</w:t>
            </w:r>
          </w:p>
        </w:tc>
      </w:tr>
      <w:tr w:rsidR="001F03E6" w:rsidRPr="00A84B2E" w14:paraId="162875A1" w14:textId="77777777" w:rsidTr="00C01CE4">
        <w:tc>
          <w:tcPr>
            <w:tcW w:w="5632" w:type="dxa"/>
          </w:tcPr>
          <w:p w14:paraId="789EB3D6" w14:textId="5B9E776D" w:rsidR="001F03E6" w:rsidRPr="00322872" w:rsidRDefault="001F03E6" w:rsidP="00C01CE4">
            <w:pPr>
              <w:ind w:left="180"/>
              <w:rPr>
                <w:rFonts w:ascii="Book Antiqua" w:hAnsi="Book Antiqua"/>
              </w:rPr>
            </w:pPr>
            <w:r w:rsidRPr="00322872">
              <w:rPr>
                <w:rFonts w:ascii="Book Antiqua" w:hAnsi="Book Antiqua"/>
              </w:rPr>
              <w:t xml:space="preserve">De 100.000 </w:t>
            </w:r>
            <w:r>
              <w:rPr>
                <w:rFonts w:ascii="Book Antiqua" w:hAnsi="Book Antiqua"/>
              </w:rPr>
              <w:t xml:space="preserve">€ </w:t>
            </w:r>
            <w:r w:rsidRPr="00322872">
              <w:rPr>
                <w:rFonts w:ascii="Book Antiqua" w:hAnsi="Book Antiqua"/>
              </w:rPr>
              <w:t>à 149.999 €</w:t>
            </w:r>
          </w:p>
        </w:tc>
        <w:tc>
          <w:tcPr>
            <w:tcW w:w="4216" w:type="dxa"/>
          </w:tcPr>
          <w:p w14:paraId="7B66145F" w14:textId="77777777" w:rsidR="001F03E6" w:rsidRPr="00322872" w:rsidRDefault="001F03E6" w:rsidP="00C01CE4">
            <w:pPr>
              <w:ind w:left="18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9.000,00 €</w:t>
            </w:r>
          </w:p>
        </w:tc>
      </w:tr>
      <w:tr w:rsidR="001F03E6" w:rsidRPr="00A84B2E" w14:paraId="1A83C30F" w14:textId="77777777" w:rsidTr="00C01CE4">
        <w:tc>
          <w:tcPr>
            <w:tcW w:w="5632" w:type="dxa"/>
          </w:tcPr>
          <w:p w14:paraId="2935515F" w14:textId="00907582" w:rsidR="001F03E6" w:rsidRPr="00322872" w:rsidRDefault="001F03E6" w:rsidP="00C01CE4">
            <w:pPr>
              <w:ind w:left="180"/>
              <w:rPr>
                <w:rFonts w:ascii="Book Antiqua" w:hAnsi="Book Antiqua"/>
              </w:rPr>
            </w:pPr>
            <w:r w:rsidRPr="00322872">
              <w:rPr>
                <w:rFonts w:ascii="Book Antiqua" w:hAnsi="Book Antiqua"/>
              </w:rPr>
              <w:t xml:space="preserve">De 150.000 </w:t>
            </w:r>
            <w:r>
              <w:rPr>
                <w:rFonts w:ascii="Book Antiqua" w:hAnsi="Book Antiqua"/>
              </w:rPr>
              <w:t xml:space="preserve">€ </w:t>
            </w:r>
            <w:r w:rsidRPr="00322872">
              <w:rPr>
                <w:rFonts w:ascii="Book Antiqua" w:hAnsi="Book Antiqua"/>
              </w:rPr>
              <w:t>à 199.999 €</w:t>
            </w:r>
          </w:p>
        </w:tc>
        <w:tc>
          <w:tcPr>
            <w:tcW w:w="4216" w:type="dxa"/>
          </w:tcPr>
          <w:p w14:paraId="7D7F5F9B" w14:textId="77777777" w:rsidR="001F03E6" w:rsidRPr="00322872" w:rsidRDefault="001F03E6" w:rsidP="00C01CE4">
            <w:pPr>
              <w:ind w:left="18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10.000,00 €</w:t>
            </w:r>
          </w:p>
        </w:tc>
      </w:tr>
      <w:tr w:rsidR="001F03E6" w:rsidRPr="00A84B2E" w14:paraId="001CE00F" w14:textId="77777777" w:rsidTr="00C01CE4">
        <w:tc>
          <w:tcPr>
            <w:tcW w:w="5632" w:type="dxa"/>
          </w:tcPr>
          <w:p w14:paraId="4BDED2C4" w14:textId="212B6A8A" w:rsidR="001F03E6" w:rsidRPr="00322872" w:rsidRDefault="001F03E6" w:rsidP="00C01CE4">
            <w:pPr>
              <w:ind w:left="180"/>
              <w:rPr>
                <w:rFonts w:ascii="Book Antiqua" w:hAnsi="Book Antiqua"/>
              </w:rPr>
            </w:pPr>
            <w:r w:rsidRPr="00322872">
              <w:rPr>
                <w:rFonts w:ascii="Book Antiqua" w:hAnsi="Book Antiqua"/>
              </w:rPr>
              <w:t xml:space="preserve">De 200.000 </w:t>
            </w:r>
            <w:r>
              <w:rPr>
                <w:rFonts w:ascii="Book Antiqua" w:hAnsi="Book Antiqua"/>
              </w:rPr>
              <w:t xml:space="preserve">€ </w:t>
            </w:r>
            <w:r w:rsidRPr="00322872">
              <w:rPr>
                <w:rFonts w:ascii="Book Antiqua" w:hAnsi="Book Antiqua"/>
              </w:rPr>
              <w:t>à 249.999 €</w:t>
            </w:r>
          </w:p>
        </w:tc>
        <w:tc>
          <w:tcPr>
            <w:tcW w:w="4216" w:type="dxa"/>
          </w:tcPr>
          <w:p w14:paraId="3E488B82" w14:textId="77777777" w:rsidR="001F03E6" w:rsidRPr="00322872" w:rsidRDefault="001F03E6" w:rsidP="00C01CE4">
            <w:pPr>
              <w:ind w:left="18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12.000,00 €</w:t>
            </w:r>
          </w:p>
        </w:tc>
      </w:tr>
      <w:tr w:rsidR="001F03E6" w:rsidRPr="00A84B2E" w14:paraId="021FD6D7" w14:textId="77777777" w:rsidTr="00C01CE4">
        <w:tc>
          <w:tcPr>
            <w:tcW w:w="5632" w:type="dxa"/>
          </w:tcPr>
          <w:p w14:paraId="6ECC4D27" w14:textId="196464F3" w:rsidR="001F03E6" w:rsidRPr="00322872" w:rsidRDefault="001F03E6" w:rsidP="00C01CE4">
            <w:pPr>
              <w:ind w:left="180"/>
              <w:rPr>
                <w:rFonts w:ascii="Book Antiqua" w:hAnsi="Book Antiqua"/>
              </w:rPr>
            </w:pPr>
            <w:r w:rsidRPr="00322872">
              <w:rPr>
                <w:rFonts w:ascii="Book Antiqua" w:hAnsi="Book Antiqua"/>
              </w:rPr>
              <w:t xml:space="preserve">De 250.000 </w:t>
            </w:r>
            <w:r>
              <w:rPr>
                <w:rFonts w:ascii="Book Antiqua" w:hAnsi="Book Antiqua"/>
              </w:rPr>
              <w:t xml:space="preserve">€ </w:t>
            </w:r>
            <w:r w:rsidRPr="00322872">
              <w:rPr>
                <w:rFonts w:ascii="Book Antiqua" w:hAnsi="Book Antiqua"/>
              </w:rPr>
              <w:t>à 299.000 €</w:t>
            </w:r>
          </w:p>
        </w:tc>
        <w:tc>
          <w:tcPr>
            <w:tcW w:w="4216" w:type="dxa"/>
          </w:tcPr>
          <w:p w14:paraId="2EB8C9BB" w14:textId="77777777" w:rsidR="001F03E6" w:rsidRPr="00322872" w:rsidRDefault="001F03E6" w:rsidP="00C01CE4">
            <w:pPr>
              <w:ind w:left="18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13.000,00 €</w:t>
            </w:r>
          </w:p>
        </w:tc>
      </w:tr>
      <w:tr w:rsidR="001F03E6" w:rsidRPr="00A84B2E" w14:paraId="3D4734C2" w14:textId="77777777" w:rsidTr="00C01CE4">
        <w:tc>
          <w:tcPr>
            <w:tcW w:w="5632" w:type="dxa"/>
          </w:tcPr>
          <w:p w14:paraId="1A81A9A9" w14:textId="77777777" w:rsidR="001F03E6" w:rsidRPr="00322872" w:rsidRDefault="001F03E6" w:rsidP="00C01CE4">
            <w:pPr>
              <w:ind w:left="18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Au-delà de 30</w:t>
            </w:r>
            <w:r w:rsidRPr="00322872">
              <w:rPr>
                <w:rFonts w:ascii="Book Antiqua" w:hAnsi="Book Antiqua"/>
              </w:rPr>
              <w:t>0.000 €</w:t>
            </w:r>
          </w:p>
        </w:tc>
        <w:tc>
          <w:tcPr>
            <w:tcW w:w="4216" w:type="dxa"/>
          </w:tcPr>
          <w:p w14:paraId="7B566AAC" w14:textId="77777777" w:rsidR="001F03E6" w:rsidRPr="00322872" w:rsidRDefault="001F03E6" w:rsidP="00C01CE4">
            <w:pPr>
              <w:ind w:left="18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5,00 </w:t>
            </w:r>
            <w:r w:rsidRPr="00322872">
              <w:rPr>
                <w:rFonts w:ascii="Book Antiqua" w:hAnsi="Book Antiqua"/>
              </w:rPr>
              <w:t>%</w:t>
            </w:r>
          </w:p>
        </w:tc>
      </w:tr>
    </w:tbl>
    <w:p w14:paraId="6FBFBC15" w14:textId="77777777" w:rsidR="001F03E6" w:rsidRDefault="001F03E6" w:rsidP="001F03E6">
      <w:pPr>
        <w:ind w:left="-284"/>
        <w:rPr>
          <w:rFonts w:ascii="Book Antiqua" w:hAnsi="Book Antiqua"/>
        </w:rPr>
      </w:pPr>
    </w:p>
    <w:p w14:paraId="299F6804" w14:textId="77777777" w:rsidR="001F03E6" w:rsidRPr="00322872" w:rsidRDefault="001F03E6" w:rsidP="001F03E6">
      <w:pPr>
        <w:ind w:left="-709"/>
        <w:rPr>
          <w:rFonts w:ascii="Book Antiqua" w:hAnsi="Book Antiqua"/>
          <w:b/>
          <w:u w:val="single"/>
        </w:rPr>
      </w:pPr>
      <w:r w:rsidRPr="00322872">
        <w:rPr>
          <w:rFonts w:ascii="Book Antiqua" w:hAnsi="Book Antiqua"/>
          <w:b/>
          <w:u w:val="single"/>
        </w:rPr>
        <w:t>II - HONORAIRES TRANSACTION</w:t>
      </w:r>
      <w:r>
        <w:rPr>
          <w:rFonts w:ascii="Book Antiqua" w:hAnsi="Book Antiqua"/>
          <w:b/>
          <w:u w:val="single"/>
        </w:rPr>
        <w:t>S</w:t>
      </w:r>
      <w:r w:rsidRPr="00322872">
        <w:rPr>
          <w:rFonts w:ascii="Book Antiqua" w:hAnsi="Book Antiqua"/>
          <w:b/>
          <w:u w:val="single"/>
        </w:rPr>
        <w:t xml:space="preserve"> TERRAINS : </w:t>
      </w:r>
    </w:p>
    <w:p w14:paraId="63663AFE" w14:textId="77777777" w:rsidR="001F03E6" w:rsidRPr="008D3983" w:rsidRDefault="001F03E6" w:rsidP="001F03E6">
      <w:pPr>
        <w:ind w:left="-709"/>
        <w:rPr>
          <w:rFonts w:ascii="Book Antiqua" w:hAnsi="Book Antiqua"/>
          <w:i/>
          <w:color w:val="0070C0"/>
          <w:sz w:val="22"/>
        </w:rPr>
      </w:pPr>
      <w:r w:rsidRPr="008D3983">
        <w:rPr>
          <w:rFonts w:ascii="Book Antiqua" w:hAnsi="Book Antiqua"/>
          <w:i/>
          <w:color w:val="0070C0"/>
          <w:sz w:val="22"/>
        </w:rPr>
        <w:t>Honoraires TTC à la charge du vendeur ou, sur option, à la charge de l’acquéreur.</w:t>
      </w:r>
    </w:p>
    <w:p w14:paraId="55BAD232" w14:textId="77777777" w:rsidR="001F03E6" w:rsidRDefault="001F03E6" w:rsidP="001F03E6">
      <w:pPr>
        <w:ind w:left="-709"/>
        <w:rPr>
          <w:rFonts w:ascii="Book Antiqua" w:hAnsi="Book Antiqua"/>
        </w:rPr>
      </w:pPr>
      <w:r w:rsidRPr="00322872">
        <w:rPr>
          <w:rFonts w:ascii="Book Antiqua" w:hAnsi="Book Antiqua"/>
        </w:rPr>
        <w:t>7 % (avec un forfait minimum de 6.000 €)</w:t>
      </w:r>
      <w:r>
        <w:rPr>
          <w:rFonts w:ascii="Book Antiqua" w:hAnsi="Book Antiqua"/>
        </w:rPr>
        <w:t>.</w:t>
      </w:r>
    </w:p>
    <w:p w14:paraId="7B1EBB40" w14:textId="77777777" w:rsidR="001F03E6" w:rsidRPr="00322872" w:rsidRDefault="001F03E6" w:rsidP="001F03E6">
      <w:pPr>
        <w:ind w:left="-709"/>
        <w:rPr>
          <w:rFonts w:ascii="Book Antiqua" w:hAnsi="Book Antiqua"/>
        </w:rPr>
      </w:pPr>
    </w:p>
    <w:p w14:paraId="65028673" w14:textId="77777777" w:rsidR="001F03E6" w:rsidRDefault="001F03E6" w:rsidP="001F03E6">
      <w:pPr>
        <w:ind w:left="-709"/>
        <w:rPr>
          <w:rFonts w:ascii="Book Antiqua" w:hAnsi="Book Antiqua"/>
          <w:b/>
          <w:u w:val="single"/>
        </w:rPr>
      </w:pPr>
      <w:r w:rsidRPr="00322872">
        <w:rPr>
          <w:rFonts w:ascii="Book Antiqua" w:hAnsi="Book Antiqua"/>
          <w:b/>
          <w:u w:val="single"/>
        </w:rPr>
        <w:t xml:space="preserve">III </w:t>
      </w:r>
      <w:r>
        <w:rPr>
          <w:rFonts w:ascii="Book Antiqua" w:hAnsi="Book Antiqua"/>
          <w:b/>
          <w:u w:val="single"/>
        </w:rPr>
        <w:t>–</w:t>
      </w:r>
      <w:r w:rsidRPr="00322872">
        <w:rPr>
          <w:rFonts w:ascii="Book Antiqua" w:hAnsi="Book Antiqua"/>
          <w:b/>
          <w:u w:val="single"/>
        </w:rPr>
        <w:t xml:space="preserve"> HONORAIRES</w:t>
      </w:r>
      <w:r>
        <w:rPr>
          <w:rFonts w:ascii="Book Antiqua" w:hAnsi="Book Antiqua"/>
          <w:b/>
          <w:u w:val="single"/>
        </w:rPr>
        <w:t xml:space="preserve"> TTC*</w:t>
      </w:r>
      <w:r w:rsidRPr="00322872">
        <w:rPr>
          <w:rFonts w:ascii="Book Antiqua" w:hAnsi="Book Antiqua"/>
          <w:b/>
          <w:u w:val="single"/>
        </w:rPr>
        <w:t xml:space="preserve"> LOCATIONS</w:t>
      </w:r>
      <w:r>
        <w:rPr>
          <w:rFonts w:ascii="Book Antiqua" w:hAnsi="Book Antiqua"/>
          <w:b/>
          <w:u w:val="single"/>
        </w:rPr>
        <w:t xml:space="preserve"> HABITATIONS NUES OU MEUBLEES</w:t>
      </w:r>
      <w:r w:rsidRPr="00322872">
        <w:rPr>
          <w:rFonts w:ascii="Book Antiqua" w:hAnsi="Book Antiqua"/>
          <w:b/>
          <w:u w:val="single"/>
        </w:rPr>
        <w:t xml:space="preserve"> : </w:t>
      </w:r>
    </w:p>
    <w:p w14:paraId="2CECE1E4" w14:textId="77777777" w:rsidR="001F03E6" w:rsidRDefault="001F03E6" w:rsidP="001F03E6">
      <w:pPr>
        <w:ind w:left="-709"/>
        <w:rPr>
          <w:rFonts w:ascii="Book Antiqua" w:hAnsi="Book Antiqua"/>
          <w:b/>
          <w:u w:val="single"/>
        </w:rPr>
      </w:pPr>
    </w:p>
    <w:p w14:paraId="16A2A1D3" w14:textId="77777777" w:rsidR="001F03E6" w:rsidRDefault="001F03E6" w:rsidP="001F03E6">
      <w:pPr>
        <w:pStyle w:val="Paragraphedeliste"/>
        <w:numPr>
          <w:ilvl w:val="0"/>
          <w:numId w:val="12"/>
        </w:numPr>
        <w:ind w:left="-567" w:hanging="142"/>
        <w:rPr>
          <w:rFonts w:ascii="Book Antiqua" w:hAnsi="Book Antiqua"/>
          <w:sz w:val="20"/>
          <w:szCs w:val="20"/>
        </w:rPr>
      </w:pPr>
      <w:r w:rsidRPr="0016154E">
        <w:rPr>
          <w:rFonts w:ascii="Book Antiqua" w:hAnsi="Book Antiqua"/>
          <w:sz w:val="20"/>
          <w:szCs w:val="20"/>
        </w:rPr>
        <w:t>Honoraires négociation à charge exclusive du bailleur : 1 % du loyer annuel TTC.</w:t>
      </w:r>
    </w:p>
    <w:p w14:paraId="7826E5C1" w14:textId="77777777" w:rsidR="001F03E6" w:rsidRDefault="001F03E6" w:rsidP="001F03E6">
      <w:pPr>
        <w:pStyle w:val="Paragraphedeliste"/>
        <w:numPr>
          <w:ilvl w:val="0"/>
          <w:numId w:val="12"/>
        </w:numPr>
        <w:ind w:left="-567" w:hanging="142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Visites, constitution du dossier du locataire, rédaction du bail :</w:t>
      </w:r>
    </w:p>
    <w:p w14:paraId="07490F9C" w14:textId="77777777" w:rsidR="001F03E6" w:rsidRDefault="001F03E6" w:rsidP="001F03E6">
      <w:pPr>
        <w:ind w:left="-567" w:hanging="142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Charge du Bailleur : 6,5 % du loyer annuel</w:t>
      </w:r>
    </w:p>
    <w:p w14:paraId="18E875C4" w14:textId="77777777" w:rsidR="001F03E6" w:rsidRDefault="001F03E6" w:rsidP="001F03E6">
      <w:pPr>
        <w:ind w:left="-567" w:hanging="142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Charge du Locataire : 6,5 % du loyer annuel, plafonné à 8 € TTC / m².</w:t>
      </w:r>
    </w:p>
    <w:p w14:paraId="28FAAC7B" w14:textId="77777777" w:rsidR="001F03E6" w:rsidRDefault="001F03E6" w:rsidP="001F03E6">
      <w:pPr>
        <w:pStyle w:val="Paragraphedeliste"/>
        <w:numPr>
          <w:ilvl w:val="0"/>
          <w:numId w:val="12"/>
        </w:numPr>
        <w:ind w:left="-567" w:hanging="142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État des lieux :</w:t>
      </w:r>
    </w:p>
    <w:p w14:paraId="33B7C114" w14:textId="77777777" w:rsidR="001F03E6" w:rsidRDefault="001F03E6" w:rsidP="001F03E6">
      <w:pPr>
        <w:ind w:left="-567" w:hanging="142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Charge du Bailleur : 1,75 % TTC du Loyer annuel,</w:t>
      </w:r>
    </w:p>
    <w:p w14:paraId="2B76E04D" w14:textId="77777777" w:rsidR="001F03E6" w:rsidRDefault="001F03E6" w:rsidP="001F03E6">
      <w:pPr>
        <w:ind w:left="-567" w:hanging="142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Charge du Locataire : 1,75 % TTC du loyer annuel TTC plafonné à 3 € TTC / m².</w:t>
      </w:r>
    </w:p>
    <w:p w14:paraId="0A87C11E" w14:textId="77777777" w:rsidR="001F03E6" w:rsidRDefault="001F03E6" w:rsidP="001F03E6">
      <w:pPr>
        <w:ind w:left="-709"/>
        <w:rPr>
          <w:rFonts w:ascii="Book Antiqua" w:hAnsi="Book Antiqua"/>
          <w:sz w:val="20"/>
          <w:szCs w:val="20"/>
        </w:rPr>
      </w:pPr>
    </w:p>
    <w:p w14:paraId="150858E5" w14:textId="77777777" w:rsidR="001F03E6" w:rsidRPr="00A84B2E" w:rsidRDefault="001F03E6" w:rsidP="001F03E6">
      <w:pPr>
        <w:ind w:left="-709" w:right="-284"/>
        <w:rPr>
          <w:rFonts w:ascii="Book Antiqua" w:hAnsi="Book Antiqua"/>
          <w:b/>
          <w:u w:val="single"/>
        </w:rPr>
      </w:pPr>
      <w:r w:rsidRPr="00A84B2E">
        <w:rPr>
          <w:rFonts w:ascii="Book Antiqua" w:hAnsi="Book Antiqua"/>
          <w:b/>
          <w:u w:val="single"/>
        </w:rPr>
        <w:t>IV – HONORAIRES HT* LOCATION LOCAUX COMMERCIAUX / PROFESSIONNELS :</w:t>
      </w:r>
    </w:p>
    <w:p w14:paraId="7C46F71E" w14:textId="77777777" w:rsidR="001F03E6" w:rsidRDefault="001F03E6" w:rsidP="001F03E6">
      <w:pPr>
        <w:ind w:left="-709"/>
        <w:rPr>
          <w:rFonts w:ascii="Book Antiqua" w:hAnsi="Book Antiqua"/>
          <w:b/>
          <w:sz w:val="20"/>
          <w:szCs w:val="20"/>
        </w:rPr>
      </w:pPr>
    </w:p>
    <w:p w14:paraId="4983475D" w14:textId="77777777" w:rsidR="001F03E6" w:rsidRPr="0016154E" w:rsidRDefault="001F03E6" w:rsidP="001F03E6">
      <w:pPr>
        <w:pStyle w:val="Paragraphedeliste"/>
        <w:numPr>
          <w:ilvl w:val="0"/>
          <w:numId w:val="12"/>
        </w:numPr>
        <w:ind w:left="-709" w:hanging="284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3</w:t>
      </w:r>
      <w:r w:rsidRPr="0016154E">
        <w:rPr>
          <w:rFonts w:ascii="Book Antiqua" w:hAnsi="Book Antiqua"/>
          <w:sz w:val="20"/>
          <w:szCs w:val="20"/>
        </w:rPr>
        <w:t>0 % du loyer annuel HT, dont 50 % pour le propriétaire et 50 % pour le locataire.</w:t>
      </w:r>
    </w:p>
    <w:p w14:paraId="55158610" w14:textId="77777777" w:rsidR="00E4796C" w:rsidRDefault="00E4796C" w:rsidP="001F03E6">
      <w:pPr>
        <w:widowControl w:val="0"/>
        <w:autoSpaceDE w:val="0"/>
        <w:autoSpaceDN w:val="0"/>
        <w:adjustRightInd w:val="0"/>
        <w:spacing w:after="240" w:line="360" w:lineRule="atLeast"/>
        <w:ind w:left="-851" w:right="-142"/>
        <w:jc w:val="both"/>
        <w:rPr>
          <w:rFonts w:ascii="Book Antiqua" w:hAnsi="Book Antiqua"/>
          <w:i/>
          <w:sz w:val="20"/>
          <w:szCs w:val="20"/>
        </w:rPr>
      </w:pPr>
    </w:p>
    <w:p w14:paraId="09D793F0" w14:textId="720F6EAB" w:rsidR="001F03E6" w:rsidRPr="00250FA3" w:rsidRDefault="001F03E6" w:rsidP="001F03E6">
      <w:pPr>
        <w:widowControl w:val="0"/>
        <w:autoSpaceDE w:val="0"/>
        <w:autoSpaceDN w:val="0"/>
        <w:adjustRightInd w:val="0"/>
        <w:spacing w:after="240" w:line="360" w:lineRule="atLeast"/>
        <w:ind w:left="-851" w:right="-142"/>
        <w:jc w:val="both"/>
        <w:rPr>
          <w:rFonts w:ascii="Times" w:hAnsi="Times" w:cs="Times"/>
          <w:b/>
          <w:color w:val="0070C0"/>
          <w:sz w:val="22"/>
          <w:szCs w:val="22"/>
        </w:rPr>
      </w:pPr>
      <w:r w:rsidRPr="00250FA3">
        <w:rPr>
          <w:rFonts w:ascii="Times" w:hAnsi="Times" w:cs="Times"/>
          <w:b/>
          <w:color w:val="0070C0"/>
          <w:sz w:val="22"/>
          <w:szCs w:val="22"/>
        </w:rPr>
        <w:t>« Le professionnel doit veiller à appliquer effectivement les prix affichés dans la majorité des transactions de vente auxquelles il participe. Les rabais par rapport au barème sont autorisés : il est possible de déroger à ce barème de prix dans le cadre des négociations, mais dans des limites proches des conditions pratiquées, seulement à la baisse, et pour des affaires particulières » (réponse ministérielle n</w:t>
      </w:r>
      <w:r w:rsidRPr="00250FA3">
        <w:rPr>
          <w:rFonts w:ascii="Times" w:hAnsi="Times" w:cs="Times"/>
          <w:b/>
          <w:color w:val="0070C0"/>
          <w:position w:val="10"/>
          <w:sz w:val="22"/>
          <w:szCs w:val="22"/>
        </w:rPr>
        <w:t xml:space="preserve">o </w:t>
      </w:r>
      <w:r w:rsidRPr="00250FA3">
        <w:rPr>
          <w:rFonts w:ascii="Times" w:hAnsi="Times" w:cs="Times"/>
          <w:b/>
          <w:color w:val="0070C0"/>
          <w:sz w:val="22"/>
          <w:szCs w:val="22"/>
        </w:rPr>
        <w:t>1209 du 31 octobre 2017, JOAN p. 5300).</w:t>
      </w:r>
    </w:p>
    <w:p w14:paraId="6892F94B" w14:textId="77777777" w:rsidR="005F7A82" w:rsidRPr="00311F4F" w:rsidRDefault="005F7A82" w:rsidP="00311F4F"/>
    <w:sectPr w:rsidR="005F7A82" w:rsidRPr="00311F4F" w:rsidSect="00B04378">
      <w:headerReference w:type="even" r:id="rId8"/>
      <w:headerReference w:type="default" r:id="rId9"/>
      <w:footerReference w:type="default" r:id="rId10"/>
      <w:pgSz w:w="11906" w:h="16838"/>
      <w:pgMar w:top="284" w:right="1418" w:bottom="284" w:left="1418" w:header="277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559C9" w14:textId="77777777" w:rsidR="00B93D89" w:rsidRDefault="00B93D89">
      <w:r>
        <w:separator/>
      </w:r>
    </w:p>
  </w:endnote>
  <w:endnote w:type="continuationSeparator" w:id="0">
    <w:p w14:paraId="670245B0" w14:textId="77777777" w:rsidR="00B93D89" w:rsidRDefault="00B9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77B90" w14:textId="77777777" w:rsidR="003175CF" w:rsidRDefault="003175CF" w:rsidP="000458C3">
    <w:pPr>
      <w:pStyle w:val="Pieddepage"/>
      <w:pBdr>
        <w:bottom w:val="single" w:sz="4" w:space="1" w:color="auto"/>
      </w:pBdr>
      <w:tabs>
        <w:tab w:val="clear" w:pos="9072"/>
        <w:tab w:val="right" w:pos="9781"/>
      </w:tabs>
      <w:ind w:left="-851" w:right="-569"/>
      <w:jc w:val="center"/>
      <w:rPr>
        <w:sz w:val="16"/>
        <w:szCs w:val="16"/>
      </w:rPr>
    </w:pPr>
  </w:p>
  <w:p w14:paraId="0BBC1B6F" w14:textId="27FDB0EB" w:rsidR="003175CF" w:rsidRPr="000458C3" w:rsidRDefault="003175CF" w:rsidP="000458C3">
    <w:pPr>
      <w:pStyle w:val="Pieddepage"/>
      <w:tabs>
        <w:tab w:val="clear" w:pos="9072"/>
        <w:tab w:val="right" w:pos="9781"/>
      </w:tabs>
      <w:ind w:left="-851" w:right="-569"/>
      <w:jc w:val="center"/>
      <w:rPr>
        <w:sz w:val="16"/>
        <w:szCs w:val="16"/>
      </w:rPr>
    </w:pPr>
    <w:r w:rsidRPr="000458C3">
      <w:rPr>
        <w:sz w:val="16"/>
        <w:szCs w:val="16"/>
      </w:rPr>
      <w:t>S.A.S.U</w:t>
    </w:r>
    <w:r>
      <w:rPr>
        <w:sz w:val="16"/>
        <w:szCs w:val="16"/>
      </w:rPr>
      <w:t>. B</w:t>
    </w:r>
    <w:r w:rsidR="00C2682B">
      <w:rPr>
        <w:sz w:val="16"/>
        <w:szCs w:val="16"/>
      </w:rPr>
      <w:t>SA</w:t>
    </w:r>
    <w:r>
      <w:rPr>
        <w:sz w:val="16"/>
        <w:szCs w:val="16"/>
      </w:rPr>
      <w:t>,</w:t>
    </w:r>
    <w:r w:rsidRPr="000458C3">
      <w:rPr>
        <w:sz w:val="16"/>
        <w:szCs w:val="16"/>
      </w:rPr>
      <w:t xml:space="preserve"> au capital variable de 50.000 €  - RCS </w:t>
    </w:r>
    <w:r>
      <w:rPr>
        <w:sz w:val="16"/>
        <w:szCs w:val="16"/>
      </w:rPr>
      <w:t>Arras - SIREN 529 064 834</w:t>
    </w:r>
    <w:r w:rsidRPr="000458C3">
      <w:rPr>
        <w:sz w:val="16"/>
        <w:szCs w:val="16"/>
      </w:rPr>
      <w:t>- APE6831Z</w:t>
    </w:r>
  </w:p>
  <w:p w14:paraId="4A7515D0" w14:textId="5AD5967C" w:rsidR="003175CF" w:rsidRPr="000458C3" w:rsidRDefault="003175CF" w:rsidP="000458C3">
    <w:pPr>
      <w:pStyle w:val="Pieddepage"/>
      <w:tabs>
        <w:tab w:val="clear" w:pos="9072"/>
        <w:tab w:val="right" w:pos="9781"/>
      </w:tabs>
      <w:ind w:left="-851" w:right="-569"/>
      <w:jc w:val="center"/>
      <w:rPr>
        <w:sz w:val="16"/>
        <w:szCs w:val="16"/>
      </w:rPr>
    </w:pPr>
    <w:r w:rsidRPr="000458C3">
      <w:rPr>
        <w:sz w:val="16"/>
        <w:szCs w:val="16"/>
      </w:rPr>
      <w:t xml:space="preserve">Siège social </w:t>
    </w:r>
    <w:r w:rsidR="005975A6">
      <w:rPr>
        <w:sz w:val="16"/>
        <w:szCs w:val="16"/>
      </w:rPr>
      <w:t>10</w:t>
    </w:r>
    <w:r w:rsidRPr="000458C3">
      <w:rPr>
        <w:sz w:val="16"/>
        <w:szCs w:val="16"/>
      </w:rPr>
      <w:t xml:space="preserve"> Grand Place -62000 ARRAS</w:t>
    </w:r>
  </w:p>
  <w:p w14:paraId="08D2B803" w14:textId="09A70998" w:rsidR="003175CF" w:rsidRPr="000458C3" w:rsidRDefault="003175CF" w:rsidP="000458C3">
    <w:pPr>
      <w:pStyle w:val="Pieddepage"/>
      <w:tabs>
        <w:tab w:val="clear" w:pos="9072"/>
        <w:tab w:val="right" w:pos="9781"/>
      </w:tabs>
      <w:ind w:left="-851" w:right="-569"/>
      <w:jc w:val="center"/>
      <w:rPr>
        <w:sz w:val="16"/>
        <w:szCs w:val="16"/>
      </w:rPr>
    </w:pPr>
    <w:r w:rsidRPr="000458C3">
      <w:rPr>
        <w:sz w:val="16"/>
        <w:szCs w:val="16"/>
      </w:rPr>
      <w:t xml:space="preserve">Président : Stéphanie MIQUELOT – carte professionnelle </w:t>
    </w:r>
    <w:proofErr w:type="spellStart"/>
    <w:r w:rsidRPr="000458C3">
      <w:rPr>
        <w:sz w:val="16"/>
        <w:szCs w:val="16"/>
      </w:rPr>
      <w:t>n°</w:t>
    </w:r>
    <w:r w:rsidR="00311F4F">
      <w:rPr>
        <w:sz w:val="16"/>
        <w:szCs w:val="16"/>
      </w:rPr>
      <w:t>CPI</w:t>
    </w:r>
    <w:proofErr w:type="spellEnd"/>
    <w:r w:rsidR="00311F4F">
      <w:rPr>
        <w:sz w:val="16"/>
        <w:szCs w:val="16"/>
      </w:rPr>
      <w:t xml:space="preserve"> </w:t>
    </w:r>
    <w:r w:rsidR="00375947">
      <w:rPr>
        <w:sz w:val="16"/>
        <w:szCs w:val="16"/>
      </w:rPr>
      <w:t xml:space="preserve">6201 2018 000 0029 181 délivrée par la CCI Artois </w:t>
    </w:r>
    <w:r>
      <w:rPr>
        <w:sz w:val="16"/>
        <w:szCs w:val="16"/>
      </w:rPr>
      <w:t xml:space="preserve"> – Sans garantie financière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5115F" w14:textId="77777777" w:rsidR="00B93D89" w:rsidRDefault="00B93D89">
      <w:r>
        <w:separator/>
      </w:r>
    </w:p>
  </w:footnote>
  <w:footnote w:type="continuationSeparator" w:id="0">
    <w:p w14:paraId="33285C9A" w14:textId="77777777" w:rsidR="00B93D89" w:rsidRDefault="00B93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C03A3" w14:textId="77777777" w:rsidR="003175CF" w:rsidRDefault="00870E11" w:rsidP="00A734B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175C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0B44A21" w14:textId="77777777" w:rsidR="003175CF" w:rsidRDefault="003175CF" w:rsidP="004F2976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28129" w14:textId="77777777" w:rsidR="003175CF" w:rsidRDefault="00870E11" w:rsidP="00A734B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175C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F7A82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B81F536" w14:textId="1F377781" w:rsidR="003175CF" w:rsidRPr="00D73C95" w:rsidRDefault="00311F4F" w:rsidP="00311F4F">
    <w:pPr>
      <w:tabs>
        <w:tab w:val="right" w:pos="9070"/>
      </w:tabs>
      <w:ind w:left="-1134"/>
      <w:rPr>
        <w:rFonts w:ascii="Book Antiqua" w:hAnsi="Book Antiqua" w:cs="Arial"/>
        <w:b/>
        <w:color w:val="000000" w:themeColor="text1"/>
        <w:u w:val="single"/>
      </w:rPr>
    </w:pPr>
    <w:r w:rsidRPr="00D73C95">
      <w:rPr>
        <w:rFonts w:ascii="Book Antiqua" w:hAnsi="Book Antiqua" w:cs="Arial"/>
        <w:b/>
        <w:noProof/>
        <w:color w:val="000000" w:themeColor="text1"/>
        <w:u w:val="single"/>
      </w:rPr>
      <w:drawing>
        <wp:anchor distT="0" distB="0" distL="114300" distR="114300" simplePos="0" relativeHeight="251658240" behindDoc="1" locked="0" layoutInCell="1" allowOverlap="1" wp14:anchorId="54265CB2" wp14:editId="39B16471">
          <wp:simplePos x="0" y="0"/>
          <wp:positionH relativeFrom="column">
            <wp:posOffset>5021580</wp:posOffset>
          </wp:positionH>
          <wp:positionV relativeFrom="paragraph">
            <wp:posOffset>20925</wp:posOffset>
          </wp:positionV>
          <wp:extent cx="1089837" cy="1089837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ANET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837" cy="1089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75CF" w:rsidRPr="00D73C95">
      <w:rPr>
        <w:rFonts w:ascii="Book Antiqua" w:hAnsi="Book Antiqua" w:cs="Arial"/>
        <w:b/>
        <w:color w:val="000000" w:themeColor="text1"/>
        <w:u w:val="single"/>
      </w:rPr>
      <w:t>AGENCE D’ ARRAS :</w:t>
    </w:r>
  </w:p>
  <w:p w14:paraId="03A8E114" w14:textId="77777777" w:rsidR="003175CF" w:rsidRPr="00D73C95" w:rsidRDefault="003175CF" w:rsidP="00731909">
    <w:pPr>
      <w:ind w:left="-1134"/>
      <w:rPr>
        <w:rFonts w:ascii="Book Antiqua" w:hAnsi="Book Antiqua" w:cs="Arial"/>
        <w:color w:val="000000" w:themeColor="text1"/>
        <w:sz w:val="22"/>
        <w:szCs w:val="22"/>
      </w:rPr>
    </w:pPr>
    <w:r w:rsidRPr="00D73C95">
      <w:rPr>
        <w:rFonts w:ascii="Book Antiqua" w:hAnsi="Book Antiqua" w:cs="Arial"/>
        <w:color w:val="000000" w:themeColor="text1"/>
        <w:sz w:val="22"/>
        <w:szCs w:val="22"/>
      </w:rPr>
      <w:t>10 Grand Place</w:t>
    </w:r>
  </w:p>
  <w:p w14:paraId="00CF622F" w14:textId="77777777" w:rsidR="003175CF" w:rsidRPr="00D73C95" w:rsidRDefault="003175CF" w:rsidP="00731909">
    <w:pPr>
      <w:ind w:left="-1134"/>
      <w:rPr>
        <w:rFonts w:ascii="Book Antiqua" w:hAnsi="Book Antiqua" w:cs="Arial"/>
        <w:color w:val="000000" w:themeColor="text1"/>
        <w:sz w:val="22"/>
        <w:szCs w:val="22"/>
      </w:rPr>
    </w:pPr>
    <w:r w:rsidRPr="00D73C95">
      <w:rPr>
        <w:rFonts w:ascii="Book Antiqua" w:hAnsi="Book Antiqua" w:cs="Arial"/>
        <w:color w:val="000000" w:themeColor="text1"/>
        <w:sz w:val="22"/>
        <w:szCs w:val="22"/>
      </w:rPr>
      <w:t>62000 ARRAS</w:t>
    </w:r>
  </w:p>
  <w:p w14:paraId="2EF6551B" w14:textId="426E8CDD" w:rsidR="003175CF" w:rsidRPr="00D73C95" w:rsidRDefault="003175CF" w:rsidP="00731909">
    <w:pPr>
      <w:ind w:left="-1134"/>
      <w:rPr>
        <w:rFonts w:ascii="Book Antiqua" w:hAnsi="Book Antiqua" w:cs="Arial"/>
        <w:color w:val="000000" w:themeColor="text1"/>
        <w:sz w:val="22"/>
        <w:szCs w:val="22"/>
      </w:rPr>
    </w:pPr>
    <w:r w:rsidRPr="00D73C95">
      <w:rPr>
        <w:rFonts w:ascii="Book Antiqua" w:hAnsi="Book Antiqua" w:cs="Arial"/>
        <w:color w:val="000000" w:themeColor="text1"/>
        <w:sz w:val="22"/>
        <w:szCs w:val="22"/>
      </w:rPr>
      <w:t>Tel  : 03.21.23.10.10.</w:t>
    </w:r>
  </w:p>
  <w:p w14:paraId="3B2BB0D8" w14:textId="2811A09C" w:rsidR="003175CF" w:rsidRPr="00D73C95" w:rsidRDefault="003175CF" w:rsidP="00731909">
    <w:pPr>
      <w:ind w:left="-1134"/>
      <w:rPr>
        <w:rFonts w:ascii="Book Antiqua" w:hAnsi="Book Antiqua" w:cs="Arial"/>
        <w:color w:val="000000" w:themeColor="text1"/>
        <w:sz w:val="22"/>
        <w:szCs w:val="22"/>
      </w:rPr>
    </w:pPr>
    <w:r w:rsidRPr="00D73C95">
      <w:rPr>
        <w:rFonts w:ascii="Book Antiqua" w:hAnsi="Book Antiqua" w:cs="Arial"/>
        <w:color w:val="000000" w:themeColor="text1"/>
        <w:sz w:val="22"/>
        <w:szCs w:val="22"/>
      </w:rPr>
      <w:t xml:space="preserve">Mail : </w:t>
    </w:r>
    <w:hyperlink r:id="rId2" w:history="1">
      <w:r w:rsidR="00311F4F" w:rsidRPr="00D73C95">
        <w:rPr>
          <w:rStyle w:val="Lienhypertexte"/>
          <w:rFonts w:ascii="Book Antiqua" w:hAnsi="Book Antiqua" w:cs="Arial"/>
          <w:color w:val="000000" w:themeColor="text1"/>
          <w:sz w:val="22"/>
          <w:szCs w:val="22"/>
        </w:rPr>
        <w:t>contact@manetie.com</w:t>
      </w:r>
    </w:hyperlink>
  </w:p>
  <w:p w14:paraId="162C311D" w14:textId="77777777" w:rsidR="003175CF" w:rsidRPr="00D73C95" w:rsidRDefault="003175CF" w:rsidP="00731909">
    <w:pPr>
      <w:ind w:left="-1134"/>
      <w:rPr>
        <w:rFonts w:ascii="Book Antiqua" w:hAnsi="Book Antiqua" w:cs="Arial"/>
        <w:color w:val="000000" w:themeColor="text1"/>
        <w:sz w:val="22"/>
        <w:szCs w:val="22"/>
      </w:rPr>
    </w:pPr>
    <w:r w:rsidRPr="00D73C95">
      <w:rPr>
        <w:rFonts w:ascii="Book Antiqua" w:hAnsi="Book Antiqua" w:cs="Arial"/>
        <w:color w:val="000000" w:themeColor="text1"/>
        <w:sz w:val="22"/>
        <w:szCs w:val="22"/>
      </w:rPr>
      <w:t>RCS Arras Siret : 529 064 834 00037</w:t>
    </w:r>
  </w:p>
  <w:p w14:paraId="13868FFE" w14:textId="7FDC9C2C" w:rsidR="003175CF" w:rsidRPr="00D73C95" w:rsidRDefault="003175CF" w:rsidP="00731909">
    <w:pPr>
      <w:ind w:left="-1134"/>
      <w:rPr>
        <w:rFonts w:ascii="Book Antiqua" w:hAnsi="Book Antiqua" w:cs="Arial"/>
        <w:b/>
        <w:color w:val="000000" w:themeColor="text1"/>
        <w:sz w:val="28"/>
        <w:szCs w:val="28"/>
      </w:rPr>
    </w:pPr>
    <w:r w:rsidRPr="00D73C95">
      <w:rPr>
        <w:rFonts w:ascii="Book Antiqua" w:hAnsi="Book Antiqua" w:cs="Arial"/>
        <w:b/>
        <w:color w:val="000000" w:themeColor="text1"/>
        <w:sz w:val="28"/>
        <w:szCs w:val="28"/>
      </w:rPr>
      <w:t>www.</w:t>
    </w:r>
    <w:r w:rsidR="00311F4F" w:rsidRPr="00D73C95">
      <w:rPr>
        <w:rFonts w:ascii="Book Antiqua" w:hAnsi="Book Antiqua" w:cs="Arial"/>
        <w:b/>
        <w:color w:val="000000" w:themeColor="text1"/>
        <w:sz w:val="28"/>
        <w:szCs w:val="28"/>
      </w:rPr>
      <w:t>manetie.com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55CA1"/>
    <w:multiLevelType w:val="hybridMultilevel"/>
    <w:tmpl w:val="AD1477C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27A6A"/>
    <w:multiLevelType w:val="hybridMultilevel"/>
    <w:tmpl w:val="23C0EB1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E609B"/>
    <w:multiLevelType w:val="hybridMultilevel"/>
    <w:tmpl w:val="D780EA7E"/>
    <w:lvl w:ilvl="0" w:tplc="1A48956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F13A5"/>
    <w:multiLevelType w:val="hybridMultilevel"/>
    <w:tmpl w:val="76FC201C"/>
    <w:lvl w:ilvl="0" w:tplc="1A489564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26FA3"/>
    <w:multiLevelType w:val="hybridMultilevel"/>
    <w:tmpl w:val="29B2EE72"/>
    <w:lvl w:ilvl="0" w:tplc="040C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8A739B9"/>
    <w:multiLevelType w:val="hybridMultilevel"/>
    <w:tmpl w:val="6AC4587E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2EB3ED1"/>
    <w:multiLevelType w:val="hybridMultilevel"/>
    <w:tmpl w:val="27E6EB1C"/>
    <w:lvl w:ilvl="0" w:tplc="1A48956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A1EDD"/>
    <w:multiLevelType w:val="hybridMultilevel"/>
    <w:tmpl w:val="D9CE64C8"/>
    <w:lvl w:ilvl="0" w:tplc="F68C01F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A3091"/>
    <w:multiLevelType w:val="hybridMultilevel"/>
    <w:tmpl w:val="E9AC2D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61881"/>
    <w:multiLevelType w:val="hybridMultilevel"/>
    <w:tmpl w:val="F1DAEA9C"/>
    <w:lvl w:ilvl="0" w:tplc="2C2E3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79F02DE6"/>
    <w:multiLevelType w:val="hybridMultilevel"/>
    <w:tmpl w:val="115AE9B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CB61603"/>
    <w:multiLevelType w:val="hybridMultilevel"/>
    <w:tmpl w:val="35B84498"/>
    <w:lvl w:ilvl="0" w:tplc="1302A714">
      <w:start w:val="7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930"/>
    <w:rsid w:val="00006335"/>
    <w:rsid w:val="00026D5E"/>
    <w:rsid w:val="000458C3"/>
    <w:rsid w:val="00062A7A"/>
    <w:rsid w:val="00084463"/>
    <w:rsid w:val="00084B64"/>
    <w:rsid w:val="00085FB3"/>
    <w:rsid w:val="000A3208"/>
    <w:rsid w:val="000A7FA4"/>
    <w:rsid w:val="000C5930"/>
    <w:rsid w:val="000C6752"/>
    <w:rsid w:val="000E6E14"/>
    <w:rsid w:val="00116B0C"/>
    <w:rsid w:val="00134327"/>
    <w:rsid w:val="001379A6"/>
    <w:rsid w:val="00162F22"/>
    <w:rsid w:val="00163C2D"/>
    <w:rsid w:val="00180B12"/>
    <w:rsid w:val="001A1B6A"/>
    <w:rsid w:val="001A62DA"/>
    <w:rsid w:val="001D5C12"/>
    <w:rsid w:val="001E2A47"/>
    <w:rsid w:val="001F03E6"/>
    <w:rsid w:val="001F5198"/>
    <w:rsid w:val="001F6704"/>
    <w:rsid w:val="001F79B5"/>
    <w:rsid w:val="0020623C"/>
    <w:rsid w:val="00216454"/>
    <w:rsid w:val="00232D4C"/>
    <w:rsid w:val="0023785B"/>
    <w:rsid w:val="002429FB"/>
    <w:rsid w:val="00263D9A"/>
    <w:rsid w:val="00286A28"/>
    <w:rsid w:val="002A76B2"/>
    <w:rsid w:val="002B65F8"/>
    <w:rsid w:val="002C0FA8"/>
    <w:rsid w:val="002C5286"/>
    <w:rsid w:val="002F58AC"/>
    <w:rsid w:val="00307943"/>
    <w:rsid w:val="00311F4F"/>
    <w:rsid w:val="003175CF"/>
    <w:rsid w:val="0034475B"/>
    <w:rsid w:val="00365133"/>
    <w:rsid w:val="0037417C"/>
    <w:rsid w:val="00375947"/>
    <w:rsid w:val="00396100"/>
    <w:rsid w:val="003B3AFF"/>
    <w:rsid w:val="003C4057"/>
    <w:rsid w:val="003C6FF9"/>
    <w:rsid w:val="0040371F"/>
    <w:rsid w:val="00413AAC"/>
    <w:rsid w:val="004176D3"/>
    <w:rsid w:val="00434F57"/>
    <w:rsid w:val="0044548B"/>
    <w:rsid w:val="004571D9"/>
    <w:rsid w:val="00464694"/>
    <w:rsid w:val="00467A19"/>
    <w:rsid w:val="00486F22"/>
    <w:rsid w:val="004C1CA2"/>
    <w:rsid w:val="004F001F"/>
    <w:rsid w:val="004F2976"/>
    <w:rsid w:val="00502FE1"/>
    <w:rsid w:val="00513A70"/>
    <w:rsid w:val="00515273"/>
    <w:rsid w:val="0054534D"/>
    <w:rsid w:val="00562220"/>
    <w:rsid w:val="005674D9"/>
    <w:rsid w:val="005975A6"/>
    <w:rsid w:val="005A574D"/>
    <w:rsid w:val="005B29C6"/>
    <w:rsid w:val="005C68EF"/>
    <w:rsid w:val="005D6C72"/>
    <w:rsid w:val="005E4E73"/>
    <w:rsid w:val="005F7A82"/>
    <w:rsid w:val="0061273D"/>
    <w:rsid w:val="00617AC2"/>
    <w:rsid w:val="0063078D"/>
    <w:rsid w:val="0063473D"/>
    <w:rsid w:val="006816EC"/>
    <w:rsid w:val="006A1F46"/>
    <w:rsid w:val="006A391D"/>
    <w:rsid w:val="006C7237"/>
    <w:rsid w:val="00705C2B"/>
    <w:rsid w:val="00706435"/>
    <w:rsid w:val="0071453C"/>
    <w:rsid w:val="007209ED"/>
    <w:rsid w:val="007239A9"/>
    <w:rsid w:val="00731909"/>
    <w:rsid w:val="00752F2B"/>
    <w:rsid w:val="00781CF7"/>
    <w:rsid w:val="007936D0"/>
    <w:rsid w:val="007D3691"/>
    <w:rsid w:val="007E0ED8"/>
    <w:rsid w:val="00804FF1"/>
    <w:rsid w:val="00816BEA"/>
    <w:rsid w:val="00823029"/>
    <w:rsid w:val="00823408"/>
    <w:rsid w:val="00826954"/>
    <w:rsid w:val="00827823"/>
    <w:rsid w:val="00835DB5"/>
    <w:rsid w:val="00870E11"/>
    <w:rsid w:val="0088067F"/>
    <w:rsid w:val="00882BEE"/>
    <w:rsid w:val="008D67CC"/>
    <w:rsid w:val="008E1083"/>
    <w:rsid w:val="00901F58"/>
    <w:rsid w:val="009034B1"/>
    <w:rsid w:val="00937420"/>
    <w:rsid w:val="0095206E"/>
    <w:rsid w:val="00955FB6"/>
    <w:rsid w:val="00977F72"/>
    <w:rsid w:val="009861B7"/>
    <w:rsid w:val="009A31A2"/>
    <w:rsid w:val="009C2E8D"/>
    <w:rsid w:val="009C6142"/>
    <w:rsid w:val="009F543B"/>
    <w:rsid w:val="00A04182"/>
    <w:rsid w:val="00A15F5D"/>
    <w:rsid w:val="00A53E9F"/>
    <w:rsid w:val="00A61B6F"/>
    <w:rsid w:val="00A734B4"/>
    <w:rsid w:val="00A743D9"/>
    <w:rsid w:val="00A75CE8"/>
    <w:rsid w:val="00AB1731"/>
    <w:rsid w:val="00AB508B"/>
    <w:rsid w:val="00AD2959"/>
    <w:rsid w:val="00AE1E56"/>
    <w:rsid w:val="00B04378"/>
    <w:rsid w:val="00B16491"/>
    <w:rsid w:val="00B170C8"/>
    <w:rsid w:val="00B24273"/>
    <w:rsid w:val="00B32B48"/>
    <w:rsid w:val="00B3553D"/>
    <w:rsid w:val="00B7723C"/>
    <w:rsid w:val="00B93D89"/>
    <w:rsid w:val="00BB665F"/>
    <w:rsid w:val="00BE1352"/>
    <w:rsid w:val="00BF39E8"/>
    <w:rsid w:val="00C03984"/>
    <w:rsid w:val="00C24ADE"/>
    <w:rsid w:val="00C2682B"/>
    <w:rsid w:val="00C33067"/>
    <w:rsid w:val="00C53662"/>
    <w:rsid w:val="00C55F33"/>
    <w:rsid w:val="00C66048"/>
    <w:rsid w:val="00C72C2A"/>
    <w:rsid w:val="00C81C76"/>
    <w:rsid w:val="00C940E8"/>
    <w:rsid w:val="00C96556"/>
    <w:rsid w:val="00CA6669"/>
    <w:rsid w:val="00CB22E2"/>
    <w:rsid w:val="00CB69A5"/>
    <w:rsid w:val="00CC2CB7"/>
    <w:rsid w:val="00CC5FA3"/>
    <w:rsid w:val="00CE2BF8"/>
    <w:rsid w:val="00CE5FFB"/>
    <w:rsid w:val="00D14C60"/>
    <w:rsid w:val="00D33E8A"/>
    <w:rsid w:val="00D50B0C"/>
    <w:rsid w:val="00D73C95"/>
    <w:rsid w:val="00D7654E"/>
    <w:rsid w:val="00D877B8"/>
    <w:rsid w:val="00D938B8"/>
    <w:rsid w:val="00DA1F7C"/>
    <w:rsid w:val="00DA450F"/>
    <w:rsid w:val="00DB5B24"/>
    <w:rsid w:val="00DC0965"/>
    <w:rsid w:val="00DC31D8"/>
    <w:rsid w:val="00E06B28"/>
    <w:rsid w:val="00E32AD9"/>
    <w:rsid w:val="00E4796C"/>
    <w:rsid w:val="00E52512"/>
    <w:rsid w:val="00E9528F"/>
    <w:rsid w:val="00EA3C8B"/>
    <w:rsid w:val="00EE5CC7"/>
    <w:rsid w:val="00EF673A"/>
    <w:rsid w:val="00EF6F6C"/>
    <w:rsid w:val="00F00E95"/>
    <w:rsid w:val="00F101D4"/>
    <w:rsid w:val="00F51330"/>
    <w:rsid w:val="00F64AE3"/>
    <w:rsid w:val="00F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8537C57"/>
  <w15:docId w15:val="{1D7E4218-A3CC-488A-9BC7-D597EF35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4694"/>
    <w:rPr>
      <w:sz w:val="24"/>
      <w:szCs w:val="24"/>
    </w:rPr>
  </w:style>
  <w:style w:type="paragraph" w:styleId="Titre1">
    <w:name w:val="heading 1"/>
    <w:basedOn w:val="Normal"/>
    <w:next w:val="Normal"/>
    <w:qFormat/>
    <w:rsid w:val="004646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464694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464694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464694"/>
    <w:pPr>
      <w:keepNext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464694"/>
    <w:rPr>
      <w:rFonts w:ascii="Arial" w:hAnsi="Arial" w:cs="Arial"/>
      <w:i/>
      <w:iCs/>
    </w:rPr>
  </w:style>
  <w:style w:type="paragraph" w:styleId="Corpsdetexte3">
    <w:name w:val="Body Text 3"/>
    <w:basedOn w:val="Normal"/>
    <w:rsid w:val="00464694"/>
    <w:pPr>
      <w:jc w:val="both"/>
    </w:pPr>
    <w:rPr>
      <w:rFonts w:ascii="Arial" w:hAnsi="Arial" w:cs="Arial"/>
    </w:rPr>
  </w:style>
  <w:style w:type="paragraph" w:styleId="En-tte">
    <w:name w:val="header"/>
    <w:basedOn w:val="Normal"/>
    <w:rsid w:val="004F297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F297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F2976"/>
  </w:style>
  <w:style w:type="character" w:styleId="Lienhypertexte">
    <w:name w:val="Hyperlink"/>
    <w:basedOn w:val="Policepardfaut"/>
    <w:rsid w:val="00977F7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63C2D"/>
    <w:pPr>
      <w:ind w:left="720"/>
      <w:contextualSpacing/>
    </w:pPr>
  </w:style>
  <w:style w:type="character" w:customStyle="1" w:styleId="sideheader21">
    <w:name w:val="sideheader21"/>
    <w:basedOn w:val="Policepardfaut"/>
    <w:rsid w:val="00CC5FA3"/>
    <w:rPr>
      <w:rFonts w:ascii="Verdana" w:hAnsi="Verdana" w:hint="default"/>
      <w:b/>
      <w:bCs/>
      <w:color w:val="6666CC"/>
      <w:sz w:val="17"/>
      <w:szCs w:val="17"/>
      <w:bdr w:val="single" w:sz="6" w:space="0" w:color="6666CC" w:frame="1"/>
      <w:shd w:val="clear" w:color="auto" w:fill="F0F4FF"/>
    </w:rPr>
  </w:style>
  <w:style w:type="paragraph" w:styleId="Textedebulles">
    <w:name w:val="Balloon Text"/>
    <w:basedOn w:val="Normal"/>
    <w:link w:val="TextedebullesCar"/>
    <w:semiHidden/>
    <w:unhideWhenUsed/>
    <w:rsid w:val="00EF673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EF673A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semiHidden/>
    <w:unhideWhenUsed/>
    <w:rsid w:val="00513A70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13A70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1F0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manetie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42416-4A27-524D-A18D-22683AC1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348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 DE  TRAVAIL  A  DURÉE  INDÉTERMINÉE</vt:lpstr>
    </vt:vector>
  </TitlesOfParts>
  <Company/>
  <LinksUpToDate>false</LinksUpToDate>
  <CharactersWithSpaces>1949</CharactersWithSpaces>
  <SharedDoc>false</SharedDoc>
  <HLinks>
    <vt:vector size="6" baseType="variant">
      <vt:variant>
        <vt:i4>6225966</vt:i4>
      </vt:variant>
      <vt:variant>
        <vt:i4>0</vt:i4>
      </vt:variant>
      <vt:variant>
        <vt:i4>0</vt:i4>
      </vt:variant>
      <vt:variant>
        <vt:i4>5</vt:i4>
      </vt:variant>
      <vt:variant>
        <vt:lpwstr>mailto:Cabinet-Byzance@orange.fr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 DE  TRAVAIL  A  DURÉE  INDÉTERMINÉE</dc:title>
  <dc:creator>Cabinet Maitre Talleux</dc:creator>
  <cp:lastModifiedBy>Stéphanie Miquelot</cp:lastModifiedBy>
  <cp:revision>6</cp:revision>
  <cp:lastPrinted>2021-02-03T10:32:00Z</cp:lastPrinted>
  <dcterms:created xsi:type="dcterms:W3CDTF">2019-07-11T10:53:00Z</dcterms:created>
  <dcterms:modified xsi:type="dcterms:W3CDTF">2021-02-03T10:33:00Z</dcterms:modified>
</cp:coreProperties>
</file>